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1F466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DD9BD0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400BF2" w14:paraId="7F352E1B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34A1EE" w14:textId="12AF88E4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CB2687"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16D6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F16D6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</w:t>
            </w:r>
            <w:r w:rsidR="00F16D61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</w:p>
        </w:tc>
      </w:tr>
      <w:tr w:rsidR="009A1A51" w:rsidRPr="00400BF2" w14:paraId="6A59A5E4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636AB62" w14:textId="322E1FFA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F243C" w:rsidRPr="00DD3FBE">
              <w:rPr>
                <w:rFonts w:ascii="Times New Roman" w:hAnsi="Times New Roman"/>
                <w:sz w:val="20"/>
                <w:szCs w:val="20"/>
              </w:rPr>
              <w:t>Подстицање развоја ране писмености</w:t>
            </w:r>
          </w:p>
        </w:tc>
      </w:tr>
      <w:tr w:rsidR="009A1A51" w:rsidRPr="00400BF2" w14:paraId="438A2A50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C3E0D20" w14:textId="5C9D3249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B2687" w:rsidRPr="00400BF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16D61" w:rsidRPr="00F16D61">
              <w:rPr>
                <w:rFonts w:ascii="Times New Roman" w:hAnsi="Times New Roman"/>
                <w:sz w:val="20"/>
                <w:szCs w:val="20"/>
              </w:rPr>
              <w:t>Мићић</w:t>
            </w:r>
            <w:r w:rsidR="00F16D6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B2687" w:rsidRPr="00DD3FBE">
              <w:rPr>
                <w:rFonts w:ascii="Times New Roman" w:hAnsi="Times New Roman"/>
                <w:sz w:val="20"/>
                <w:szCs w:val="20"/>
              </w:rPr>
              <w:t xml:space="preserve">Вишња </w:t>
            </w:r>
          </w:p>
        </w:tc>
      </w:tr>
      <w:tr w:rsidR="009A1A51" w:rsidRPr="00400BF2" w14:paraId="038FAF69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68626EA" w14:textId="0B411D4A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B2687"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D3FBE" w:rsidRPr="00DD3FB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400BF2" w:rsidRPr="00DD3FBE">
              <w:rPr>
                <w:rFonts w:ascii="Times New Roman" w:hAnsi="Times New Roman"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400BF2" w14:paraId="1D63C608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A48FECD" w14:textId="1F645870" w:rsidR="009A1A51" w:rsidRPr="00400BF2" w:rsidRDefault="009A1A51" w:rsidP="00384F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073E4"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84F1F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9A1A51" w:rsidRPr="00400BF2" w14:paraId="787F865D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7B0E64B" w14:textId="0F86EE49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00BF2"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16D6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400BF2" w14:paraId="539E4811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F5283B0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FF0CABA" w14:textId="0C00DF52" w:rsidR="009A1A51" w:rsidRPr="00C77828" w:rsidRDefault="00400BF2" w:rsidP="00400BF2">
            <w:pPr>
              <w:pStyle w:val="FootnoteText"/>
              <w:jc w:val="both"/>
              <w:rPr>
                <w:lang w:val="sr-Cyrl-RS"/>
              </w:rPr>
            </w:pPr>
            <w:r w:rsidRPr="00400BF2">
              <w:rPr>
                <w:bCs/>
                <w:lang w:val="sr-Cyrl-RS"/>
              </w:rPr>
              <w:t xml:space="preserve">Оспособити студенте да </w:t>
            </w:r>
            <w:r w:rsidR="00C77828">
              <w:rPr>
                <w:bCs/>
                <w:lang w:val="sr-Cyrl-RS"/>
              </w:rPr>
              <w:t xml:space="preserve">прате и </w:t>
            </w:r>
            <w:r w:rsidRPr="00400BF2">
              <w:rPr>
                <w:bCs/>
                <w:lang w:val="sr-Cyrl-RS"/>
              </w:rPr>
              <w:t>п</w:t>
            </w:r>
            <w:r w:rsidRPr="00400BF2">
              <w:rPr>
                <w:lang w:val="sr-Cyrl-RS"/>
              </w:rPr>
              <w:t>одстичу рану писменост код деце предшколског узраста</w:t>
            </w:r>
            <w:r w:rsidR="00C77828">
              <w:rPr>
                <w:lang w:val="sr-Cyrl-RS"/>
              </w:rPr>
              <w:t xml:space="preserve"> –</w:t>
            </w:r>
            <w:r w:rsidRPr="00400BF2">
              <w:rPr>
                <w:lang w:val="sr-Cyrl-RS"/>
              </w:rPr>
              <w:t xml:space="preserve"> подстицање развоја имагинације, упознавање стратегија разумевања текста (усменог, штампаног или мултимедијалног), увођење у свет симболичког представљања</w:t>
            </w:r>
            <w:r w:rsidR="00C77828">
              <w:rPr>
                <w:lang w:val="sr-Cyrl-RS"/>
              </w:rPr>
              <w:t xml:space="preserve"> (</w:t>
            </w:r>
            <w:r w:rsidR="00C77828" w:rsidRPr="00C77828">
              <w:rPr>
                <w:lang w:val="sr-Cyrl-RS"/>
              </w:rPr>
              <w:t>кодирања и декодирања</w:t>
            </w:r>
            <w:r w:rsidR="00C77828">
              <w:rPr>
                <w:lang w:val="sr-Cyrl-RS"/>
              </w:rPr>
              <w:t>)</w:t>
            </w:r>
            <w:r w:rsidR="00C77828" w:rsidRPr="00C77828">
              <w:rPr>
                <w:lang w:val="sr-Cyrl-RS"/>
              </w:rPr>
              <w:t xml:space="preserve"> </w:t>
            </w:r>
            <w:r w:rsidRPr="00400BF2">
              <w:rPr>
                <w:lang w:val="sr-Cyrl-RS"/>
              </w:rPr>
              <w:t>и подстицање графомоторике</w:t>
            </w:r>
            <w:r w:rsidR="00C77828">
              <w:rPr>
                <w:lang w:val="sr-Cyrl-RS"/>
              </w:rPr>
              <w:t>.</w:t>
            </w:r>
          </w:p>
        </w:tc>
      </w:tr>
      <w:tr w:rsidR="009A1A51" w:rsidRPr="00400BF2" w14:paraId="1E7EC079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A3F8FCF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CD7665C" w14:textId="77E5F9E3" w:rsidR="009A1A51" w:rsidRPr="00400BF2" w:rsidRDefault="00222D33" w:rsidP="00400B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Самостално </w:t>
            </w:r>
            <w:r w:rsidR="00B008D1" w:rsidRPr="00400B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планирање, припремање и </w:t>
            </w:r>
            <w:r w:rsidRPr="00400B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активности</w:t>
            </w:r>
            <w:r w:rsidR="00B008D1" w:rsidRPr="00400B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предшколским васпитно-образовним ситуацијама</w:t>
            </w:r>
            <w:r w:rsidR="00400BF2" w:rsidRPr="00400B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циљем подстицања ране писмености код деце.</w:t>
            </w:r>
          </w:p>
        </w:tc>
      </w:tr>
      <w:tr w:rsidR="009A1A51" w:rsidRPr="00400BF2" w14:paraId="61B31A0A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FAAAEE8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CAFDCB6" w14:textId="15CA279D" w:rsidR="009A1A51" w:rsidRPr="00400BF2" w:rsidRDefault="00400BF2" w:rsidP="00400BF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BF2">
              <w:rPr>
                <w:rFonts w:ascii="Times New Roman" w:hAnsi="Times New Roman"/>
                <w:sz w:val="20"/>
                <w:szCs w:val="20"/>
              </w:rPr>
              <w:t>1. Читалац који не чита: рецепција текста, интерактивно читање деци, подстицање разумевања прочитаног, примери вежби и игара у раду са децом; 2. Зачеци кодирања и декодирања: прве дечје игре читања, разумевање и представљање језичких јединица, примери вежби и игара у раду са децом; 3. Рано читање: читање сликоприче и сл</w:t>
            </w:r>
            <w:r w:rsidR="008670BE">
              <w:rPr>
                <w:rFonts w:ascii="Times New Roman" w:hAnsi="Times New Roman"/>
                <w:sz w:val="20"/>
                <w:szCs w:val="20"/>
              </w:rPr>
              <w:t>и</w:t>
            </w:r>
            <w:r w:rsidRPr="00400BF2">
              <w:rPr>
                <w:rFonts w:ascii="Times New Roman" w:hAnsi="Times New Roman"/>
                <w:sz w:val="20"/>
                <w:szCs w:val="20"/>
              </w:rPr>
              <w:t>копесме, препознавање слова, игре за стимулисање раног читања; 4. Подстицање развоја графомоторике: моторичке вежбе у простору и у равни, линија и линијски систем, плес писања.</w:t>
            </w:r>
          </w:p>
        </w:tc>
      </w:tr>
      <w:tr w:rsidR="009A1A51" w:rsidRPr="00400BF2" w14:paraId="10C56171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EFAEF5D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794A4D3" w14:textId="027D2672" w:rsidR="00400BF2" w:rsidRPr="00400BF2" w:rsidRDefault="00400BF2" w:rsidP="00E94DDC">
            <w:pPr>
              <w:pStyle w:val="Heading2"/>
              <w:spacing w:line="276" w:lineRule="auto"/>
              <w:ind w:left="31" w:firstLine="0"/>
              <w:jc w:val="both"/>
              <w:rPr>
                <w:color w:val="auto"/>
                <w:sz w:val="20"/>
                <w:szCs w:val="20"/>
                <w:lang w:val="sr-Cyrl-CS"/>
              </w:rPr>
            </w:pPr>
            <w:r w:rsidRPr="00400BF2">
              <w:rPr>
                <w:color w:val="auto"/>
                <w:sz w:val="20"/>
                <w:szCs w:val="20"/>
                <w:lang w:val="sr-Cyrl-CS"/>
              </w:rPr>
              <w:t>Милатовић, В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 (2019)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 </w:t>
            </w:r>
            <w:r w:rsidRPr="00E94DDC">
              <w:rPr>
                <w:i/>
                <w:iCs/>
                <w:color w:val="auto"/>
                <w:sz w:val="20"/>
                <w:szCs w:val="20"/>
                <w:lang w:val="sr-Cyrl-CS"/>
              </w:rPr>
              <w:t>Методика наставе српског језика и књижевности у млађим разредима основне школе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>, Учитељски факултет, Београд, 2013, стр. 72–74, 76–77, 87–90, 108–134.</w:t>
            </w:r>
          </w:p>
          <w:p w14:paraId="6C83EDC5" w14:textId="1197764F" w:rsidR="00400BF2" w:rsidRPr="00400BF2" w:rsidRDefault="00400BF2" w:rsidP="00E94DDC">
            <w:pPr>
              <w:pStyle w:val="Heading2"/>
              <w:spacing w:line="276" w:lineRule="auto"/>
              <w:ind w:left="31" w:firstLine="0"/>
              <w:jc w:val="both"/>
              <w:rPr>
                <w:color w:val="auto"/>
                <w:sz w:val="20"/>
                <w:szCs w:val="20"/>
                <w:lang w:val="sr-Cyrl-CS"/>
              </w:rPr>
            </w:pPr>
            <w:r w:rsidRPr="00400BF2">
              <w:rPr>
                <w:color w:val="auto"/>
                <w:sz w:val="20"/>
                <w:szCs w:val="20"/>
                <w:lang w:val="sr-Cyrl-CS"/>
              </w:rPr>
              <w:t>Митровић, М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 (2010)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 </w:t>
            </w:r>
            <w:r w:rsidRPr="00E94DDC">
              <w:rPr>
                <w:i/>
                <w:iCs/>
                <w:color w:val="auto"/>
                <w:sz w:val="20"/>
                <w:szCs w:val="20"/>
                <w:lang w:val="sr-Cyrl-CS"/>
              </w:rPr>
              <w:t>Писменост и образовање: перспектива Нових студија писмености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. Београд: Филозофски факултет, 165–177. </w:t>
            </w:r>
          </w:p>
          <w:p w14:paraId="1C458479" w14:textId="5C137AB3" w:rsidR="00400BF2" w:rsidRPr="00400BF2" w:rsidRDefault="00400BF2" w:rsidP="00E94DDC">
            <w:pPr>
              <w:pStyle w:val="Heading2"/>
              <w:spacing w:line="276" w:lineRule="auto"/>
              <w:ind w:left="31" w:firstLine="0"/>
              <w:jc w:val="both"/>
              <w:rPr>
                <w:color w:val="auto"/>
                <w:sz w:val="20"/>
                <w:szCs w:val="20"/>
                <w:lang w:val="sr-Cyrl-CS"/>
              </w:rPr>
            </w:pPr>
            <w:r w:rsidRPr="00400BF2">
              <w:rPr>
                <w:color w:val="auto"/>
                <w:sz w:val="20"/>
                <w:szCs w:val="20"/>
                <w:lang w:val="sr-Cyrl-CS"/>
              </w:rPr>
              <w:t>Мићић, В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 (2020)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 </w:t>
            </w:r>
            <w:r w:rsidRPr="00E94DDC">
              <w:rPr>
                <w:i/>
                <w:iCs/>
                <w:color w:val="auto"/>
                <w:sz w:val="20"/>
                <w:szCs w:val="20"/>
                <w:lang w:val="sr-Cyrl-CS"/>
              </w:rPr>
              <w:t>Дете читалац и хронологија читања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. Београд: Учитељски факултет, 11–29, 223–287. </w:t>
            </w:r>
          </w:p>
          <w:p w14:paraId="31F7CAA2" w14:textId="3C154E47" w:rsidR="00400BF2" w:rsidRPr="00400BF2" w:rsidRDefault="00400BF2" w:rsidP="00E94DDC">
            <w:pPr>
              <w:pStyle w:val="Heading2"/>
              <w:spacing w:line="276" w:lineRule="auto"/>
              <w:ind w:left="31" w:firstLine="0"/>
              <w:jc w:val="both"/>
              <w:rPr>
                <w:color w:val="auto"/>
                <w:sz w:val="20"/>
                <w:szCs w:val="20"/>
                <w:lang w:val="sr-Cyrl-CS"/>
              </w:rPr>
            </w:pPr>
            <w:r w:rsidRPr="00400BF2">
              <w:rPr>
                <w:color w:val="auto"/>
                <w:sz w:val="20"/>
                <w:szCs w:val="20"/>
                <w:lang w:val="sr-Cyrl-CS"/>
              </w:rPr>
              <w:t>Мићић, В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 (2019)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 Подстицање развоја ране писмености, </w:t>
            </w:r>
            <w:r w:rsidRPr="00E94DDC">
              <w:rPr>
                <w:i/>
                <w:iCs/>
                <w:color w:val="auto"/>
                <w:sz w:val="20"/>
                <w:szCs w:val="20"/>
                <w:lang w:val="sr-Cyrl-CS"/>
              </w:rPr>
              <w:t>Методичка теорија и пракса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>, бр. 1/2019, стр. 171–194.</w:t>
            </w:r>
          </w:p>
          <w:p w14:paraId="40BD5C2C" w14:textId="020A7AEB" w:rsidR="00015AAD" w:rsidRPr="00015AAD" w:rsidRDefault="008670BE" w:rsidP="00E94DDC">
            <w:pPr>
              <w:pStyle w:val="Heading2"/>
              <w:spacing w:line="276" w:lineRule="auto"/>
              <w:ind w:left="31" w:firstLine="0"/>
              <w:jc w:val="both"/>
              <w:rPr>
                <w:color w:val="auto"/>
                <w:sz w:val="20"/>
                <w:szCs w:val="20"/>
                <w:lang w:val="sr-Latn-RS"/>
              </w:rPr>
            </w:pPr>
            <w:proofErr w:type="spellStart"/>
            <w:r>
              <w:rPr>
                <w:color w:val="auto"/>
                <w:sz w:val="20"/>
                <w:szCs w:val="20"/>
                <w:lang w:val="en-GB"/>
              </w:rPr>
              <w:t>Oussoren</w:t>
            </w:r>
            <w:proofErr w:type="spellEnd"/>
            <w:r>
              <w:rPr>
                <w:color w:val="auto"/>
                <w:sz w:val="20"/>
                <w:szCs w:val="20"/>
                <w:lang w:val="en-GB"/>
              </w:rPr>
              <w:t>, R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>
              <w:rPr>
                <w:color w:val="auto"/>
                <w:sz w:val="20"/>
                <w:szCs w:val="20"/>
                <w:lang w:val="en-GB"/>
              </w:rPr>
              <w:t xml:space="preserve"> (2008)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>
              <w:rPr>
                <w:color w:val="auto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0"/>
                <w:szCs w:val="20"/>
                <w:lang w:val="en-GB"/>
              </w:rPr>
              <w:t>Ples</w:t>
            </w:r>
            <w:proofErr w:type="spellEnd"/>
            <w:r>
              <w:rPr>
                <w:i/>
                <w:iCs/>
                <w:color w:val="auto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0"/>
                <w:szCs w:val="20"/>
                <w:lang w:val="en-GB"/>
              </w:rPr>
              <w:t>pisanja</w:t>
            </w:r>
            <w:proofErr w:type="spellEnd"/>
            <w:r>
              <w:rPr>
                <w:i/>
                <w:iCs/>
                <w:color w:val="auto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0"/>
                <w:szCs w:val="20"/>
                <w:lang w:val="en-GB"/>
              </w:rPr>
              <w:t>za</w:t>
            </w:r>
            <w:proofErr w:type="spellEnd"/>
            <w:r>
              <w:rPr>
                <w:i/>
                <w:iCs/>
                <w:color w:val="auto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0"/>
                <w:szCs w:val="20"/>
                <w:lang w:val="en-GB"/>
              </w:rPr>
              <w:t>najmla</w:t>
            </w:r>
            <w:proofErr w:type="spellEnd"/>
            <w:r>
              <w:rPr>
                <w:i/>
                <w:iCs/>
                <w:color w:val="auto"/>
                <w:sz w:val="20"/>
                <w:szCs w:val="20"/>
                <w:lang w:val="sr-Latn-RS"/>
              </w:rPr>
              <w:t>đe</w:t>
            </w:r>
            <w:r>
              <w:rPr>
                <w:color w:val="auto"/>
                <w:sz w:val="20"/>
                <w:szCs w:val="20"/>
                <w:lang w:val="sr-Latn-RS"/>
              </w:rPr>
              <w:t xml:space="preserve">, </w:t>
            </w:r>
            <w:r w:rsidR="00015AAD">
              <w:rPr>
                <w:color w:val="auto"/>
                <w:sz w:val="20"/>
                <w:szCs w:val="20"/>
                <w:lang w:val="sr-Latn-RS"/>
              </w:rPr>
              <w:t>Buševec, RH: Ostvarenje, 3–21.</w:t>
            </w:r>
          </w:p>
          <w:p w14:paraId="60F0CBC0" w14:textId="74D0E02D" w:rsidR="009A1A51" w:rsidRPr="00400BF2" w:rsidRDefault="00400BF2" w:rsidP="00E94DDC">
            <w:pPr>
              <w:pStyle w:val="Heading2"/>
              <w:spacing w:line="276" w:lineRule="auto"/>
              <w:ind w:left="31" w:firstLine="0"/>
              <w:jc w:val="both"/>
              <w:rPr>
                <w:color w:val="auto"/>
                <w:sz w:val="20"/>
                <w:szCs w:val="20"/>
                <w:lang w:val="sr-Cyrl-CS"/>
              </w:rPr>
            </w:pPr>
            <w:r w:rsidRPr="00400BF2">
              <w:rPr>
                <w:color w:val="auto"/>
                <w:sz w:val="20"/>
                <w:szCs w:val="20"/>
                <w:lang w:val="sr-Cyrl-CS"/>
              </w:rPr>
              <w:t>Čudina-Obradović, M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 (2014)</w:t>
            </w:r>
            <w:r w:rsidR="00E94DDC">
              <w:rPr>
                <w:color w:val="auto"/>
                <w:sz w:val="20"/>
                <w:szCs w:val="20"/>
                <w:lang w:val="sr-Cyrl-RS"/>
              </w:rPr>
              <w:t>.</w:t>
            </w:r>
            <w:r w:rsidRPr="00400BF2">
              <w:rPr>
                <w:color w:val="auto"/>
                <w:sz w:val="20"/>
                <w:szCs w:val="20"/>
                <w:lang w:val="sr-Cyrl-CS"/>
              </w:rPr>
              <w:t xml:space="preserve"> Psihologija čitanja. Zagreb: Učiteljski fakultet, 111–155.</w:t>
            </w:r>
          </w:p>
        </w:tc>
      </w:tr>
      <w:tr w:rsidR="009A1A51" w:rsidRPr="00400BF2" w14:paraId="7CC820DD" w14:textId="77777777" w:rsidTr="00DD3FBE">
        <w:trPr>
          <w:trHeight w:val="227"/>
          <w:jc w:val="center"/>
        </w:trPr>
        <w:tc>
          <w:tcPr>
            <w:tcW w:w="3071" w:type="dxa"/>
            <w:vAlign w:val="center"/>
          </w:tcPr>
          <w:p w14:paraId="7F37D39C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400BF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1BBE0448" w14:textId="55C49BC1" w:rsidR="009A1A51" w:rsidRPr="00F16D6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B008D1" w:rsidRPr="00400BF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16D6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63B6F454" w14:textId="536DB803" w:rsidR="009A1A51" w:rsidRPr="00F16D6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008D1" w:rsidRPr="00400BF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16D6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400BF2" w14:paraId="006596D5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C7CB23" w14:textId="14003F34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1F07282" w14:textId="6885676F" w:rsidR="009A1A51" w:rsidRPr="00400BF2" w:rsidRDefault="00222D3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Монолошка, дијалошка, демонстративна</w:t>
            </w:r>
            <w:r w:rsidR="00AB2891"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методе илустративних </w:t>
            </w:r>
            <w:r w:rsidR="00B008D1"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AB2891"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писаних радова, читања и рада на тексту</w:t>
            </w:r>
          </w:p>
        </w:tc>
      </w:tr>
      <w:tr w:rsidR="009A1A51" w:rsidRPr="00400BF2" w14:paraId="54C215EF" w14:textId="77777777" w:rsidTr="00DD3FB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58264C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400BF2" w14:paraId="56F7254E" w14:textId="77777777" w:rsidTr="00DD3FBE">
        <w:trPr>
          <w:trHeight w:val="227"/>
          <w:jc w:val="center"/>
        </w:trPr>
        <w:tc>
          <w:tcPr>
            <w:tcW w:w="3071" w:type="dxa"/>
            <w:vAlign w:val="center"/>
          </w:tcPr>
          <w:p w14:paraId="34D043B9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34C2D824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31EA9EF1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0E0506E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87A4D61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400BF2" w14:paraId="7594B6C8" w14:textId="77777777" w:rsidTr="00DD3FBE">
        <w:trPr>
          <w:trHeight w:val="227"/>
          <w:jc w:val="center"/>
        </w:trPr>
        <w:tc>
          <w:tcPr>
            <w:tcW w:w="3071" w:type="dxa"/>
            <w:vAlign w:val="center"/>
          </w:tcPr>
          <w:p w14:paraId="625EFB79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70E23E80" w14:textId="3A4562D3" w:rsidR="009A1A51" w:rsidRPr="00DD3FBE" w:rsidRDefault="00400BF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D3FBE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284A3C5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58B8C5E" w14:textId="49CC936A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400BF2" w14:paraId="5B20F3E8" w14:textId="77777777" w:rsidTr="00DD3FBE">
        <w:trPr>
          <w:trHeight w:val="227"/>
          <w:jc w:val="center"/>
        </w:trPr>
        <w:tc>
          <w:tcPr>
            <w:tcW w:w="3071" w:type="dxa"/>
            <w:vAlign w:val="center"/>
          </w:tcPr>
          <w:p w14:paraId="6534FF2E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3D2E7089" w14:textId="384CBC4F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9A01608" w14:textId="16F8FABA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8454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D79F7B7" w14:textId="4B46BD6C" w:rsidR="009A1A51" w:rsidRPr="00DD3FBE" w:rsidRDefault="0057715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D3FBE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400BF2" w14:paraId="101D9DAB" w14:textId="77777777" w:rsidTr="00DD3FBE">
        <w:trPr>
          <w:trHeight w:val="227"/>
          <w:jc w:val="center"/>
        </w:trPr>
        <w:tc>
          <w:tcPr>
            <w:tcW w:w="3071" w:type="dxa"/>
            <w:vAlign w:val="center"/>
          </w:tcPr>
          <w:p w14:paraId="1A39EF9D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3BAA15D4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7143DE9" w14:textId="5892E8C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E97C998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00BF2" w14:paraId="0F366F73" w14:textId="77777777" w:rsidTr="00DD3FBE">
        <w:trPr>
          <w:trHeight w:val="227"/>
          <w:jc w:val="center"/>
        </w:trPr>
        <w:tc>
          <w:tcPr>
            <w:tcW w:w="3071" w:type="dxa"/>
            <w:vAlign w:val="center"/>
          </w:tcPr>
          <w:p w14:paraId="5B366D9B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00BF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5217ADE5" w14:textId="4840363B" w:rsidR="009A1A51" w:rsidRPr="00DD3FBE" w:rsidRDefault="00400BF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D3FBE"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1771B2E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15AB09F" w14:textId="77777777" w:rsidR="009A1A51" w:rsidRPr="00400BF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2635841" w14:textId="77777777" w:rsidR="002E6724" w:rsidRPr="00400BF2" w:rsidRDefault="002E6724">
      <w:pPr>
        <w:rPr>
          <w:lang w:val="sr-Cyrl-CS"/>
        </w:rPr>
      </w:pPr>
    </w:p>
    <w:sectPr w:rsidR="002E6724" w:rsidRPr="00400BF2" w:rsidSect="0058454E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47CD"/>
    <w:multiLevelType w:val="hybridMultilevel"/>
    <w:tmpl w:val="C8C4BC2E"/>
    <w:lvl w:ilvl="0" w:tplc="B74A28EA">
      <w:start w:val="1"/>
      <w:numFmt w:val="decimal"/>
      <w:lvlText w:val="%1."/>
      <w:lvlJc w:val="left"/>
      <w:pPr>
        <w:ind w:left="502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5AAD"/>
    <w:rsid w:val="000253B9"/>
    <w:rsid w:val="000510EC"/>
    <w:rsid w:val="00066CCC"/>
    <w:rsid w:val="000E2B06"/>
    <w:rsid w:val="001666DC"/>
    <w:rsid w:val="002139E3"/>
    <w:rsid w:val="00222D33"/>
    <w:rsid w:val="002E6724"/>
    <w:rsid w:val="003073E4"/>
    <w:rsid w:val="00351F15"/>
    <w:rsid w:val="00384F1F"/>
    <w:rsid w:val="00400BF2"/>
    <w:rsid w:val="004073EE"/>
    <w:rsid w:val="00446830"/>
    <w:rsid w:val="00577156"/>
    <w:rsid w:val="0058454E"/>
    <w:rsid w:val="0067289D"/>
    <w:rsid w:val="006A3EA2"/>
    <w:rsid w:val="006B79AB"/>
    <w:rsid w:val="006F19E0"/>
    <w:rsid w:val="006F6C6B"/>
    <w:rsid w:val="007C310E"/>
    <w:rsid w:val="007F243C"/>
    <w:rsid w:val="008670BE"/>
    <w:rsid w:val="008C6758"/>
    <w:rsid w:val="00904040"/>
    <w:rsid w:val="00924524"/>
    <w:rsid w:val="00927DBC"/>
    <w:rsid w:val="00941E5E"/>
    <w:rsid w:val="009A1A51"/>
    <w:rsid w:val="00A6140C"/>
    <w:rsid w:val="00AB2891"/>
    <w:rsid w:val="00B008D1"/>
    <w:rsid w:val="00B17D3E"/>
    <w:rsid w:val="00C77828"/>
    <w:rsid w:val="00CB2687"/>
    <w:rsid w:val="00CC1219"/>
    <w:rsid w:val="00CE0F2C"/>
    <w:rsid w:val="00D219D3"/>
    <w:rsid w:val="00D65002"/>
    <w:rsid w:val="00DD3FBE"/>
    <w:rsid w:val="00E94DDC"/>
    <w:rsid w:val="00F1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E985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4040"/>
    <w:pPr>
      <w:widowControl w:val="0"/>
      <w:autoSpaceDE w:val="0"/>
      <w:autoSpaceDN w:val="0"/>
      <w:adjustRightInd w:val="0"/>
      <w:ind w:left="863" w:hanging="360"/>
      <w:outlineLvl w:val="1"/>
    </w:pPr>
    <w:rPr>
      <w:rFonts w:ascii="Times New Roman" w:eastAsia="Times New Roman" w:hAnsi="Times New Roman"/>
      <w:color w:val="000000"/>
      <w:kern w:val="24"/>
      <w:sz w:val="48"/>
      <w:szCs w:val="4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904040"/>
    <w:rPr>
      <w:rFonts w:ascii="Times New Roman" w:eastAsia="Times New Roman" w:hAnsi="Times New Roman" w:cs="Times New Roman"/>
      <w:color w:val="000000"/>
      <w:kern w:val="24"/>
      <w:sz w:val="48"/>
      <w:szCs w:val="48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5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5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53B9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5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53B9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5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3B9"/>
    <w:rPr>
      <w:rFonts w:ascii="Segoe UI" w:eastAsia="Calibr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7C310E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400BF2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400BF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dcterms:created xsi:type="dcterms:W3CDTF">2023-10-09T13:32:00Z</dcterms:created>
  <dcterms:modified xsi:type="dcterms:W3CDTF">2024-02-20T10:41:00Z</dcterms:modified>
</cp:coreProperties>
</file>